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3FD" w:rsidRPr="00F42841" w:rsidRDefault="004971B9" w:rsidP="001873F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841">
        <w:rPr>
          <w:rFonts w:ascii="Times New Roman" w:hAnsi="Times New Roman" w:cs="Times New Roman"/>
          <w:b/>
          <w:sz w:val="28"/>
          <w:szCs w:val="28"/>
        </w:rPr>
        <w:t xml:space="preserve">Основные итоги </w:t>
      </w:r>
    </w:p>
    <w:p w:rsidR="001873FD" w:rsidRPr="00F42841" w:rsidRDefault="001873FD" w:rsidP="001873F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841">
        <w:rPr>
          <w:rFonts w:ascii="Times New Roman" w:hAnsi="Times New Roman" w:cs="Times New Roman"/>
          <w:b/>
          <w:bCs/>
          <w:sz w:val="28"/>
          <w:szCs w:val="28"/>
        </w:rPr>
        <w:t>экспертно-аналитического мероприятия</w:t>
      </w:r>
    </w:p>
    <w:p w:rsidR="001873FD" w:rsidRPr="00F42841" w:rsidRDefault="001873FD" w:rsidP="001873FD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2841">
        <w:rPr>
          <w:rFonts w:ascii="Times New Roman" w:hAnsi="Times New Roman" w:cs="Times New Roman"/>
          <w:b/>
          <w:bCs/>
          <w:sz w:val="28"/>
          <w:szCs w:val="28"/>
        </w:rPr>
        <w:t>«Анализ исполнения мероприятия по строительству магистральных улиц микрорайона 12 в Рудничном районе г. Кемерово (2-й переулок Авроры) ГП КО «Жилищная и социальная инфраструктура Кузбасса»</w:t>
      </w:r>
    </w:p>
    <w:p w:rsidR="004971B9" w:rsidRDefault="004971B9" w:rsidP="00CE0E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841" w:rsidRPr="001417B2" w:rsidRDefault="00F42841" w:rsidP="00F42841">
      <w:pPr>
        <w:pStyle w:val="Default"/>
        <w:ind w:firstLine="709"/>
        <w:contextualSpacing/>
        <w:jc w:val="both"/>
        <w:rPr>
          <w:sz w:val="28"/>
          <w:szCs w:val="28"/>
        </w:rPr>
      </w:pPr>
      <w:r w:rsidRPr="001417B2">
        <w:rPr>
          <w:b/>
          <w:bCs/>
          <w:sz w:val="28"/>
          <w:szCs w:val="28"/>
        </w:rPr>
        <w:t xml:space="preserve">Основание для проведения экспертно-аналитического мероприятия: </w:t>
      </w:r>
      <w:r>
        <w:rPr>
          <w:sz w:val="28"/>
          <w:szCs w:val="28"/>
        </w:rPr>
        <w:t xml:space="preserve">Пункт </w:t>
      </w:r>
      <w:r w:rsidRPr="001417B2">
        <w:rPr>
          <w:sz w:val="28"/>
          <w:szCs w:val="28"/>
        </w:rPr>
        <w:t>2.8. плана работы контрольно-счетной палаты Кемеровской области на 2017 год.</w:t>
      </w:r>
    </w:p>
    <w:p w:rsidR="00F42841" w:rsidRDefault="00F42841" w:rsidP="00F42841">
      <w:pPr>
        <w:pStyle w:val="Default"/>
        <w:ind w:firstLine="709"/>
        <w:contextualSpacing/>
        <w:jc w:val="both"/>
        <w:rPr>
          <w:b/>
          <w:bCs/>
          <w:sz w:val="28"/>
          <w:szCs w:val="28"/>
        </w:rPr>
      </w:pPr>
    </w:p>
    <w:p w:rsidR="00F42841" w:rsidRPr="001417B2" w:rsidRDefault="00F42841" w:rsidP="00F4284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1417B2">
        <w:rPr>
          <w:b/>
          <w:bCs/>
          <w:sz w:val="28"/>
          <w:szCs w:val="28"/>
        </w:rPr>
        <w:t xml:space="preserve">Предмет экспертно-аналитического мероприятия: </w:t>
      </w:r>
      <w:r w:rsidRPr="001417B2">
        <w:rPr>
          <w:bCs/>
          <w:sz w:val="28"/>
          <w:szCs w:val="28"/>
        </w:rPr>
        <w:t>учредительные, бухгалтерские, отчетные документы; сметно-договорная документация, подтверждающая исполнение мероприятия по строительству дороги – 2-й переулок Авроры от пр. Шахтеров до ул. № 10 Рудничного района г. Кемерово.</w:t>
      </w:r>
    </w:p>
    <w:p w:rsidR="00F42841" w:rsidRDefault="00F42841" w:rsidP="00F42841">
      <w:pPr>
        <w:pStyle w:val="Default"/>
        <w:ind w:firstLine="709"/>
        <w:contextualSpacing/>
        <w:jc w:val="both"/>
        <w:rPr>
          <w:b/>
          <w:bCs/>
          <w:sz w:val="28"/>
          <w:szCs w:val="28"/>
        </w:rPr>
      </w:pPr>
    </w:p>
    <w:p w:rsidR="00F42841" w:rsidRPr="001417B2" w:rsidRDefault="00F42841" w:rsidP="00F4284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1417B2">
        <w:rPr>
          <w:b/>
          <w:bCs/>
          <w:sz w:val="28"/>
          <w:szCs w:val="28"/>
        </w:rPr>
        <w:t xml:space="preserve">Объект экспертно-аналитического мероприятия: </w:t>
      </w:r>
      <w:r w:rsidRPr="001417B2">
        <w:rPr>
          <w:bCs/>
          <w:sz w:val="28"/>
          <w:szCs w:val="28"/>
        </w:rPr>
        <w:t>Управление городского развития Администрации г. Кемерово, муниципальное предприятие г. Кемерово «Городское управление капитального строительства».</w:t>
      </w:r>
    </w:p>
    <w:p w:rsidR="00F42841" w:rsidRDefault="00F42841" w:rsidP="00F42841">
      <w:pPr>
        <w:pStyle w:val="Default"/>
        <w:ind w:firstLine="709"/>
        <w:contextualSpacing/>
        <w:jc w:val="both"/>
        <w:rPr>
          <w:b/>
          <w:bCs/>
          <w:sz w:val="28"/>
          <w:szCs w:val="28"/>
        </w:rPr>
      </w:pPr>
    </w:p>
    <w:p w:rsidR="00F42841" w:rsidRPr="001417B2" w:rsidRDefault="00F42841" w:rsidP="00F42841">
      <w:pPr>
        <w:pStyle w:val="Default"/>
        <w:ind w:firstLine="709"/>
        <w:contextualSpacing/>
        <w:jc w:val="both"/>
        <w:rPr>
          <w:bCs/>
          <w:sz w:val="28"/>
          <w:szCs w:val="28"/>
        </w:rPr>
      </w:pPr>
      <w:r w:rsidRPr="001417B2">
        <w:rPr>
          <w:b/>
          <w:bCs/>
          <w:sz w:val="28"/>
          <w:szCs w:val="28"/>
        </w:rPr>
        <w:t>Исследуемый период:</w:t>
      </w:r>
      <w:r w:rsidRPr="001417B2">
        <w:rPr>
          <w:bCs/>
          <w:sz w:val="28"/>
          <w:szCs w:val="28"/>
        </w:rPr>
        <w:t xml:space="preserve"> 2016 год.</w:t>
      </w:r>
    </w:p>
    <w:p w:rsidR="00F42841" w:rsidRPr="00F42841" w:rsidRDefault="00F42841" w:rsidP="00CE0E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71B9" w:rsidRDefault="004971B9" w:rsidP="00CE0E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1B9">
        <w:rPr>
          <w:rFonts w:ascii="Times New Roman" w:hAnsi="Times New Roman" w:cs="Times New Roman"/>
          <w:sz w:val="28"/>
          <w:szCs w:val="28"/>
        </w:rPr>
        <w:t>В ходе мероприятия установлено следующее.</w:t>
      </w:r>
    </w:p>
    <w:p w:rsidR="00F42841" w:rsidRPr="004971B9" w:rsidRDefault="00F42841" w:rsidP="00CE0E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E0EF9" w:rsidRPr="004971B9" w:rsidRDefault="00CE0EF9" w:rsidP="00CE0E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1B9">
        <w:rPr>
          <w:rFonts w:ascii="Times New Roman" w:hAnsi="Times New Roman" w:cs="Times New Roman"/>
          <w:sz w:val="28"/>
          <w:szCs w:val="28"/>
        </w:rPr>
        <w:t xml:space="preserve">1. </w:t>
      </w: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 субсидии в рамках </w:t>
      </w:r>
      <w:r w:rsidR="00016251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заключенного </w:t>
      </w: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Соглашения от 20.05.2016</w:t>
      </w:r>
      <w:r w:rsidR="00016251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 Управлением городского развития г. Кемерово и МП «ГорУКС»</w:t>
      </w:r>
      <w:r w:rsidR="005C55F3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на осуществление капитальных вложений в объект муниципальной собственности г. Кемерово «</w:t>
      </w:r>
      <w:r w:rsidR="00016251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Строительство м</w:t>
      </w: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агистральны</w:t>
      </w:r>
      <w:r w:rsidR="00016251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улиц 12 микрорайона в Рудничном районе г. Кемерово», составляет 102 763,1 тыс. рублей, в том числе 2016 год в сумме 66 491,0 тыс. рублей</w:t>
      </w:r>
      <w:r w:rsidR="005C55F3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средства </w:t>
      </w:r>
      <w:r w:rsidR="005C55F3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ФБ -</w:t>
      </w:r>
      <w:r w:rsidR="00E560F1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30 218,9 тыс. рублей; средства </w:t>
      </w:r>
      <w:r w:rsidR="005C55F3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МБ -</w:t>
      </w: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36 272,1 тыс. рублей</w:t>
      </w:r>
      <w:r w:rsidR="005C55F3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</w:t>
      </w: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2017 год в сумме 36 272,1 тыс. рублей за счет средств местного бюджета.</w:t>
      </w:r>
    </w:p>
    <w:p w:rsidR="00CE0EF9" w:rsidRPr="004971B9" w:rsidRDefault="00CE0EF9" w:rsidP="00CE0EF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Фактически Управлением городского развития г. Кемерово в рамках реализации </w:t>
      </w:r>
      <w:r w:rsidR="005C55F3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вышеуказанного </w:t>
      </w: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мероприятия предоставлена субсидия в 2016 году в сумме 45 543,6 тыс. рублей, в том числе за счет средств федерального бюджета </w:t>
      </w:r>
      <w:r w:rsidR="00016251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39 167,5 тыс. рублей;</w:t>
      </w:r>
      <w:r w:rsidR="006942BA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 счет средств местного бюджета </w:t>
      </w:r>
      <w:r w:rsidR="00016251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6 376,1 тыс. рублей.</w:t>
      </w:r>
    </w:p>
    <w:p w:rsidR="0089666B" w:rsidRPr="004971B9" w:rsidRDefault="00CE0EF9" w:rsidP="008966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E153A2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Субсидия Управлением </w:t>
      </w:r>
      <w:r w:rsidR="0089666B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городского развития г. Кемерово </w:t>
      </w:r>
      <w:r w:rsidR="00E153A2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предоставлялась </w:t>
      </w:r>
      <w:r w:rsidR="0089666B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из бюджета муниципального образования на осуществление капитального строительства с последующим увеличением уставного фонда МП «ГорУКС». На момент проведения экспертно-аналитического мероприятия (07.07.2017) собственником имущества – КУМИ г. Кемерово решения об увеличении уставного фонда, изменения в устав МП «ГорУ</w:t>
      </w:r>
      <w:r w:rsidR="00881037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89666B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С» не приняты, что свидетельствует о нарушениях действующего законодательства:</w:t>
      </w:r>
    </w:p>
    <w:p w:rsidR="0089666B" w:rsidRPr="004971B9" w:rsidRDefault="0089666B" w:rsidP="008966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- ст. 14 Федерального Закона № 161-ФЗ;</w:t>
      </w:r>
    </w:p>
    <w:p w:rsidR="0089666B" w:rsidRPr="004971B9" w:rsidRDefault="0089666B" w:rsidP="008966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- ст. 9 Федерального Закона от 06.12.2011 № 402-ФЗ.</w:t>
      </w:r>
    </w:p>
    <w:p w:rsidR="0089666B" w:rsidRPr="004971B9" w:rsidRDefault="00881037" w:rsidP="0089666B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89666B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Приказа Министерства Финансов РФ от 30.03.2015 № 52н.</w:t>
      </w:r>
    </w:p>
    <w:p w:rsidR="00E839BD" w:rsidRPr="004971B9" w:rsidRDefault="00881037" w:rsidP="006857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Нарушен порядок формирования начальной (максимальной) цены контракта </w:t>
      </w:r>
      <w:r w:rsidR="00685E69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(договора) </w:t>
      </w: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по строительству объекта</w:t>
      </w:r>
      <w:r w:rsidR="00E560F1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2-ой пер. Авроры от пр. Шахтёров до ул. № 10»</w:t>
      </w:r>
      <w:r w:rsidR="00685E69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не соответствие начальной (максимальной) цены контракта </w:t>
      </w: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фактически</w:t>
      </w:r>
      <w:r w:rsidR="00685E69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 </w:t>
      </w: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объемам работ по строительству объекта </w:t>
      </w:r>
      <w:r w:rsidR="00685E69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E839BD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сумм</w:t>
      </w:r>
      <w:r w:rsidR="00685E69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а по договору -</w:t>
      </w:r>
      <w:r w:rsidR="00E839BD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98 598,0 тыс. рублей</w:t>
      </w:r>
      <w:r w:rsidR="00685E69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E839BD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работы выполнены в сумме 45 048,1 тыс. рублей</w:t>
      </w:r>
      <w:r w:rsidR="00685E69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, договор 04.07.2016 № С-9 исполнен, д</w:t>
      </w:r>
      <w:r w:rsidR="00E839BD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ополнительного соглашения по изменению или расторжению договора сторонами не </w:t>
      </w:r>
      <w:r w:rsidR="00685E69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заключено).</w:t>
      </w:r>
    </w:p>
    <w:p w:rsidR="00685E69" w:rsidRPr="004971B9" w:rsidRDefault="00685E69" w:rsidP="006857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Это явилось следствием:</w:t>
      </w:r>
    </w:p>
    <w:p w:rsidR="00871737" w:rsidRPr="004971B9" w:rsidRDefault="00685E69" w:rsidP="006857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- рабочий проект шифр 2006-30-071-04 на момент заключения договора с подрядчиком потерял актуальность, возникла необходимость корректировки проекта</w:t>
      </w:r>
      <w:r w:rsidR="00871737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85E69" w:rsidRPr="004971B9" w:rsidRDefault="00685E69" w:rsidP="006857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- часть работ по проекту была выполнена в 2011 году на сумму 11 688,0 тыс. рублей</w:t>
      </w:r>
      <w:r w:rsidR="00871737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, разрешение ввода объекта в эксплуатации не представлено, что ведет к потерям имущества казны</w:t>
      </w: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5AE9" w:rsidRPr="004971B9" w:rsidRDefault="00685E69" w:rsidP="003B5AE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часть работ была выполнена сторонними организациями, </w:t>
      </w:r>
      <w:r w:rsidR="003B5AE9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что повлекло изменение объемов при выполнении договора (</w:t>
      </w:r>
      <w:r w:rsidR="00871737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</w:t>
      </w:r>
      <w:r w:rsidR="003B5AE9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выделенные под строительство автодороги земельные участки были переданы другим юридическим лицам для размещения супермаркета Мария –РА, паркинг);</w:t>
      </w:r>
    </w:p>
    <w:p w:rsidR="00685E69" w:rsidRPr="004971B9" w:rsidRDefault="003B5AE9" w:rsidP="006857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- изменение параметров автодорог (например, ширина проезжей части уменьшилась с 7 м до 6 м и т.д.).</w:t>
      </w:r>
    </w:p>
    <w:p w:rsidR="00746F71" w:rsidRPr="004971B9" w:rsidRDefault="00746F71" w:rsidP="006857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Вышеперечисленные факты свидетельствуют о нарушении статей 51,</w:t>
      </w:r>
      <w:r w:rsidR="00E560F1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55 Градостроительного кодекса РФ.</w:t>
      </w:r>
    </w:p>
    <w:p w:rsidR="00871737" w:rsidRPr="004971B9" w:rsidRDefault="00871737" w:rsidP="006857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Кроме того, </w:t>
      </w:r>
      <w:r w:rsidR="00407CE1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сметная стоимость объекта на момент заключения договора не пересчитана в действующую сметно-нормативную базу (ТСНБ-2001 в редакции 2014 года).</w:t>
      </w:r>
    </w:p>
    <w:p w:rsidR="00E560F1" w:rsidRPr="004971B9" w:rsidRDefault="00407CE1" w:rsidP="00E560F1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E839BD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. МП «ГорУС» при реализации строительства объекта без правовых оснований приняты и оплачены работы, выполненные на смежных земельных участках, относящихся к землям, государственная собственность на которые не разграничена с кадастровыми номерами № 42:24:0000000:1256, № 42:24:0401014:13748 в сумме 4 373,5 тыс. рублей</w:t>
      </w:r>
      <w:r w:rsidR="00C902B8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560F1" w:rsidRPr="004971B9">
        <w:rPr>
          <w:rFonts w:ascii="Times New Roman" w:hAnsi="Times New Roman" w:cs="Times New Roman"/>
          <w:sz w:val="28"/>
          <w:szCs w:val="28"/>
        </w:rPr>
        <w:t xml:space="preserve"> Это свидетельствует в соответствии со ст. 34 Бюджетного Кодекса РФ неэффективным использованием бюджетных средств.</w:t>
      </w:r>
    </w:p>
    <w:p w:rsidR="00E153A2" w:rsidRPr="004971B9" w:rsidRDefault="00C902B8" w:rsidP="006857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C679FE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. П</w:t>
      </w:r>
      <w:r w:rsidR="00685779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оказатели </w:t>
      </w:r>
      <w:r w:rsidR="00E560F1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в Р</w:t>
      </w:r>
      <w:r w:rsidR="00685779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азрешени</w:t>
      </w:r>
      <w:r w:rsidR="00B06882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85779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ввод объекта в эксплуатацию не соответствуют данным</w:t>
      </w:r>
      <w:r w:rsidR="00E560F1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отраженных в </w:t>
      </w:r>
      <w:r w:rsidR="00685779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Разрешени</w:t>
      </w:r>
      <w:r w:rsidR="00B06882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685779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строительство, в графе «по проекту» </w:t>
      </w:r>
      <w:r w:rsidR="00B06882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отражены</w:t>
      </w:r>
      <w:r w:rsidR="00685779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искаженные данные, а «фактические» показатели не учитывают все выполненные объёмы по данному объекту, в том числе выполненные в 2011 году</w:t>
      </w:r>
      <w:r w:rsidR="005C55F3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E153A2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например, </w:t>
      </w:r>
      <w:r w:rsidR="005C55F3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по дорожной одежде</w:t>
      </w:r>
      <w:r w:rsidR="00E153A2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5C55F3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проекту</w:t>
      </w:r>
      <w:r w:rsidR="00E153A2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, в разрешени</w:t>
      </w:r>
      <w:r w:rsidR="00B06882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153A2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строительство</w:t>
      </w:r>
      <w:r w:rsidR="005C55F3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- 12</w:t>
      </w:r>
      <w:r w:rsidR="00E153A2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="005C55F3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602</w:t>
      </w:r>
      <w:r w:rsidR="00E153A2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55F3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5C55F3" w:rsidRPr="004971B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5C55F3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, по актам выполненных работ - 11 147м</w:t>
      </w:r>
      <w:r w:rsidR="005C55F3" w:rsidRPr="004971B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5C55F3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(в том числе: в 2011 году - 3 380 м</w:t>
      </w:r>
      <w:r w:rsidR="005C55F3" w:rsidRPr="004971B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5C55F3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, в 2016 году - 7 767 м</w:t>
      </w:r>
      <w:r w:rsidR="005C55F3" w:rsidRPr="004971B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5C55F3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из них на </w:t>
      </w:r>
      <w:r w:rsidR="005C55F3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смежных земельных участках – 979 м</w:t>
      </w:r>
      <w:r w:rsidR="005C55F3" w:rsidRPr="004971B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E153A2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), в разрешени</w:t>
      </w:r>
      <w:r w:rsidR="00B06882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153A2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ввод объекта в эксплуатацию – 6 788 м</w:t>
      </w:r>
      <w:r w:rsidR="00E153A2" w:rsidRPr="004971B9"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  <w:t>2</w:t>
      </w:r>
      <w:r w:rsidR="00E153A2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016251" w:rsidRPr="004971B9" w:rsidRDefault="00016251" w:rsidP="006857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Работы, выполненные в 2011 </w:t>
      </w:r>
      <w:r w:rsidR="00E153A2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и 2016 года</w:t>
      </w:r>
      <w:r w:rsidR="00E560F1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строительству объекта «2-ой пер. Авроры от пр. Шахтёров до ул. № 10», не отражены в Перечне автомобильных дорог общего пользования местного значения города Кемерово</w:t>
      </w:r>
      <w:r w:rsidR="00E153A2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, утвержденн</w:t>
      </w:r>
      <w:r w:rsidR="0089666B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E153A2"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Постановлением Администрации г. Кемерово от 19.09.2013 № 2881</w:t>
      </w:r>
      <w:r w:rsidRPr="004971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16251" w:rsidRPr="004971B9" w:rsidRDefault="00016251" w:rsidP="006857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02B8" w:rsidRPr="004971B9" w:rsidRDefault="004971B9" w:rsidP="0068577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C902B8" w:rsidRPr="004971B9">
        <w:rPr>
          <w:rFonts w:ascii="Times New Roman" w:hAnsi="Times New Roman" w:cs="Times New Roman"/>
          <w:sz w:val="28"/>
          <w:szCs w:val="28"/>
        </w:rPr>
        <w:t>аключение контрольно-счетной палаты Кемеровской области</w:t>
      </w:r>
      <w:r w:rsidR="00D76F47" w:rsidRPr="004971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направлено </w:t>
      </w:r>
      <w:r w:rsidR="00D76F47" w:rsidRPr="004971B9">
        <w:rPr>
          <w:rFonts w:ascii="Times New Roman" w:hAnsi="Times New Roman" w:cs="Times New Roman"/>
          <w:sz w:val="28"/>
          <w:szCs w:val="28"/>
        </w:rPr>
        <w:t xml:space="preserve">главе Кемеровского городского округа, </w:t>
      </w:r>
      <w:r w:rsidR="00C902B8" w:rsidRPr="004971B9">
        <w:rPr>
          <w:rFonts w:ascii="Times New Roman" w:hAnsi="Times New Roman" w:cs="Times New Roman"/>
          <w:sz w:val="28"/>
          <w:szCs w:val="28"/>
        </w:rPr>
        <w:t>руководителю Управления городского развития г. Кемерово, директору МП «ГорУКС».</w:t>
      </w:r>
    </w:p>
    <w:p w:rsidR="004971B9" w:rsidRPr="004971B9" w:rsidRDefault="004971B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4971B9" w:rsidRPr="004971B9" w:rsidSect="001417B2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5851" w:rsidRDefault="00B05851" w:rsidP="00344CB6">
      <w:pPr>
        <w:spacing w:after="0" w:line="240" w:lineRule="auto"/>
      </w:pPr>
      <w:r>
        <w:separator/>
      </w:r>
    </w:p>
  </w:endnote>
  <w:endnote w:type="continuationSeparator" w:id="0">
    <w:p w:rsidR="00B05851" w:rsidRDefault="00B05851" w:rsidP="00344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0684121"/>
      <w:docPartObj>
        <w:docPartGallery w:val="Page Numbers (Bottom of Page)"/>
        <w:docPartUnique/>
      </w:docPartObj>
    </w:sdtPr>
    <w:sdtEndPr/>
    <w:sdtContent>
      <w:p w:rsidR="00F660C5" w:rsidRDefault="00F660C5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2841">
          <w:rPr>
            <w:noProof/>
          </w:rPr>
          <w:t>3</w:t>
        </w:r>
        <w:r>
          <w:fldChar w:fldCharType="end"/>
        </w:r>
      </w:p>
    </w:sdtContent>
  </w:sdt>
  <w:p w:rsidR="00F660C5" w:rsidRDefault="00F660C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5851" w:rsidRDefault="00B05851" w:rsidP="00344CB6">
      <w:pPr>
        <w:spacing w:after="0" w:line="240" w:lineRule="auto"/>
      </w:pPr>
      <w:r>
        <w:separator/>
      </w:r>
    </w:p>
  </w:footnote>
  <w:footnote w:type="continuationSeparator" w:id="0">
    <w:p w:rsidR="00B05851" w:rsidRDefault="00B05851" w:rsidP="00344C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EF2AAE"/>
    <w:multiLevelType w:val="hybridMultilevel"/>
    <w:tmpl w:val="9A8ED278"/>
    <w:lvl w:ilvl="0" w:tplc="39C49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64F"/>
    <w:rsid w:val="00016251"/>
    <w:rsid w:val="00030B17"/>
    <w:rsid w:val="0003309D"/>
    <w:rsid w:val="000426F4"/>
    <w:rsid w:val="0005210A"/>
    <w:rsid w:val="00066D80"/>
    <w:rsid w:val="00067A89"/>
    <w:rsid w:val="000720DD"/>
    <w:rsid w:val="00085064"/>
    <w:rsid w:val="000B4B93"/>
    <w:rsid w:val="000D2357"/>
    <w:rsid w:val="000F0E79"/>
    <w:rsid w:val="000F5CD8"/>
    <w:rsid w:val="00102457"/>
    <w:rsid w:val="00106117"/>
    <w:rsid w:val="00106F80"/>
    <w:rsid w:val="001116F9"/>
    <w:rsid w:val="001417B2"/>
    <w:rsid w:val="00165434"/>
    <w:rsid w:val="00171700"/>
    <w:rsid w:val="00172521"/>
    <w:rsid w:val="00184DF0"/>
    <w:rsid w:val="001873FD"/>
    <w:rsid w:val="00194397"/>
    <w:rsid w:val="001D32B9"/>
    <w:rsid w:val="001F076E"/>
    <w:rsid w:val="001F62B3"/>
    <w:rsid w:val="002007CD"/>
    <w:rsid w:val="002151C6"/>
    <w:rsid w:val="00222E16"/>
    <w:rsid w:val="00227EA7"/>
    <w:rsid w:val="00240404"/>
    <w:rsid w:val="00243902"/>
    <w:rsid w:val="00261F79"/>
    <w:rsid w:val="00281D1F"/>
    <w:rsid w:val="002A7819"/>
    <w:rsid w:val="002B166D"/>
    <w:rsid w:val="00327AA3"/>
    <w:rsid w:val="00333352"/>
    <w:rsid w:val="00344344"/>
    <w:rsid w:val="00344CB6"/>
    <w:rsid w:val="003655FC"/>
    <w:rsid w:val="0039312E"/>
    <w:rsid w:val="003B5AE9"/>
    <w:rsid w:val="00405CC4"/>
    <w:rsid w:val="00407CE1"/>
    <w:rsid w:val="004151D3"/>
    <w:rsid w:val="004224A9"/>
    <w:rsid w:val="00441223"/>
    <w:rsid w:val="00444FC0"/>
    <w:rsid w:val="004549D1"/>
    <w:rsid w:val="00473BFD"/>
    <w:rsid w:val="00474028"/>
    <w:rsid w:val="0048006A"/>
    <w:rsid w:val="004971B9"/>
    <w:rsid w:val="004B2433"/>
    <w:rsid w:val="004D1DC7"/>
    <w:rsid w:val="004D5B6B"/>
    <w:rsid w:val="004F74F6"/>
    <w:rsid w:val="004F759F"/>
    <w:rsid w:val="00536F65"/>
    <w:rsid w:val="00552829"/>
    <w:rsid w:val="005531AE"/>
    <w:rsid w:val="005820D1"/>
    <w:rsid w:val="005A1C6F"/>
    <w:rsid w:val="005C55F3"/>
    <w:rsid w:val="005E1192"/>
    <w:rsid w:val="005E492D"/>
    <w:rsid w:val="005F0D6D"/>
    <w:rsid w:val="005F1738"/>
    <w:rsid w:val="005F1F0A"/>
    <w:rsid w:val="005F77A6"/>
    <w:rsid w:val="00612288"/>
    <w:rsid w:val="00624616"/>
    <w:rsid w:val="00624C46"/>
    <w:rsid w:val="00685779"/>
    <w:rsid w:val="00685E69"/>
    <w:rsid w:val="006934D4"/>
    <w:rsid w:val="006942BA"/>
    <w:rsid w:val="006962F8"/>
    <w:rsid w:val="006C2333"/>
    <w:rsid w:val="006D2F0B"/>
    <w:rsid w:val="006E5CD1"/>
    <w:rsid w:val="00746F71"/>
    <w:rsid w:val="00783FAC"/>
    <w:rsid w:val="007A4D5B"/>
    <w:rsid w:val="007B3214"/>
    <w:rsid w:val="007C7DC0"/>
    <w:rsid w:val="007D0B87"/>
    <w:rsid w:val="007D5530"/>
    <w:rsid w:val="007E09BB"/>
    <w:rsid w:val="008225E3"/>
    <w:rsid w:val="00850A37"/>
    <w:rsid w:val="00871737"/>
    <w:rsid w:val="00881037"/>
    <w:rsid w:val="008822FE"/>
    <w:rsid w:val="0089666B"/>
    <w:rsid w:val="00897869"/>
    <w:rsid w:val="008C1C78"/>
    <w:rsid w:val="008D1618"/>
    <w:rsid w:val="00955BED"/>
    <w:rsid w:val="00997D84"/>
    <w:rsid w:val="00A130CD"/>
    <w:rsid w:val="00A23CC4"/>
    <w:rsid w:val="00A3072E"/>
    <w:rsid w:val="00A61DE8"/>
    <w:rsid w:val="00A75A9F"/>
    <w:rsid w:val="00AF3C5F"/>
    <w:rsid w:val="00B0534C"/>
    <w:rsid w:val="00B05851"/>
    <w:rsid w:val="00B06882"/>
    <w:rsid w:val="00B13426"/>
    <w:rsid w:val="00B215C5"/>
    <w:rsid w:val="00B26D5C"/>
    <w:rsid w:val="00B3514E"/>
    <w:rsid w:val="00B41E83"/>
    <w:rsid w:val="00B53300"/>
    <w:rsid w:val="00B62BA4"/>
    <w:rsid w:val="00BB2E2C"/>
    <w:rsid w:val="00BC2FD6"/>
    <w:rsid w:val="00BD6098"/>
    <w:rsid w:val="00C05B38"/>
    <w:rsid w:val="00C3522F"/>
    <w:rsid w:val="00C530B8"/>
    <w:rsid w:val="00C679FE"/>
    <w:rsid w:val="00C83CAB"/>
    <w:rsid w:val="00C902B8"/>
    <w:rsid w:val="00C93149"/>
    <w:rsid w:val="00CA2745"/>
    <w:rsid w:val="00CD0FEC"/>
    <w:rsid w:val="00CE0EF9"/>
    <w:rsid w:val="00CE3798"/>
    <w:rsid w:val="00D006CE"/>
    <w:rsid w:val="00D04806"/>
    <w:rsid w:val="00D04E24"/>
    <w:rsid w:val="00D36F1B"/>
    <w:rsid w:val="00D4786F"/>
    <w:rsid w:val="00D509D7"/>
    <w:rsid w:val="00D5264F"/>
    <w:rsid w:val="00D76F47"/>
    <w:rsid w:val="00D912AE"/>
    <w:rsid w:val="00DC0E3B"/>
    <w:rsid w:val="00DC4349"/>
    <w:rsid w:val="00DC7D5B"/>
    <w:rsid w:val="00DD00E0"/>
    <w:rsid w:val="00DD32C6"/>
    <w:rsid w:val="00DE5FBC"/>
    <w:rsid w:val="00DF5A66"/>
    <w:rsid w:val="00E12579"/>
    <w:rsid w:val="00E153A2"/>
    <w:rsid w:val="00E24A95"/>
    <w:rsid w:val="00E32E94"/>
    <w:rsid w:val="00E543C7"/>
    <w:rsid w:val="00E54B47"/>
    <w:rsid w:val="00E560F1"/>
    <w:rsid w:val="00E57C1A"/>
    <w:rsid w:val="00E77480"/>
    <w:rsid w:val="00E839BD"/>
    <w:rsid w:val="00E853C4"/>
    <w:rsid w:val="00E85BEF"/>
    <w:rsid w:val="00E9084D"/>
    <w:rsid w:val="00EA0E73"/>
    <w:rsid w:val="00EB1304"/>
    <w:rsid w:val="00EB589D"/>
    <w:rsid w:val="00ED42BA"/>
    <w:rsid w:val="00EF264C"/>
    <w:rsid w:val="00F031A7"/>
    <w:rsid w:val="00F06A97"/>
    <w:rsid w:val="00F42841"/>
    <w:rsid w:val="00F61124"/>
    <w:rsid w:val="00F660C5"/>
    <w:rsid w:val="00F93105"/>
    <w:rsid w:val="00FC3DEB"/>
    <w:rsid w:val="00FC71D4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033B99-85CF-48B6-8FC5-C3C5296C3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873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216">
    <w:name w:val="Font Style216"/>
    <w:basedOn w:val="a0"/>
    <w:rsid w:val="001873FD"/>
    <w:rPr>
      <w:rFonts w:ascii="Times New Roman" w:hAnsi="Times New Roman" w:cs="Times New Roman" w:hint="default"/>
      <w:b/>
      <w:bCs/>
      <w:sz w:val="26"/>
      <w:szCs w:val="26"/>
    </w:rPr>
  </w:style>
  <w:style w:type="character" w:styleId="a3">
    <w:name w:val="Hyperlink"/>
    <w:basedOn w:val="a0"/>
    <w:uiPriority w:val="99"/>
    <w:unhideWhenUsed/>
    <w:rsid w:val="000B4B9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4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4C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44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44CB6"/>
  </w:style>
  <w:style w:type="paragraph" w:styleId="a8">
    <w:name w:val="footer"/>
    <w:basedOn w:val="a"/>
    <w:link w:val="a9"/>
    <w:uiPriority w:val="99"/>
    <w:unhideWhenUsed/>
    <w:rsid w:val="00344C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44CB6"/>
  </w:style>
  <w:style w:type="paragraph" w:styleId="aa">
    <w:name w:val="List Paragraph"/>
    <w:basedOn w:val="a"/>
    <w:uiPriority w:val="34"/>
    <w:qFormat/>
    <w:rsid w:val="00C83C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19E57-830B-4350-8304-AD631769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2992</TotalTime>
  <Pages>3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Aleksey Y. Isakov</dc:creator>
  <cp:keywords/>
  <dc:description/>
  <cp:lastModifiedBy>Svetlana L. Egorova</cp:lastModifiedBy>
  <cp:revision>68</cp:revision>
  <cp:lastPrinted>2017-06-08T07:53:00Z</cp:lastPrinted>
  <dcterms:created xsi:type="dcterms:W3CDTF">2017-05-15T06:42:00Z</dcterms:created>
  <dcterms:modified xsi:type="dcterms:W3CDTF">2021-05-24T09:30:00Z</dcterms:modified>
</cp:coreProperties>
</file>